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4B9D" w14:textId="3C691E90" w:rsidR="0064322B" w:rsidRDefault="0064322B" w:rsidP="0064322B">
      <w:pPr>
        <w:jc w:val="both"/>
      </w:pPr>
      <w:r>
        <w:t>Nova čebelarska oprema za dvig konkurenčnosti našega čebelarstva</w:t>
      </w:r>
    </w:p>
    <w:p w14:paraId="75A0D896" w14:textId="11CE943B" w:rsidR="00465838" w:rsidRPr="00465838" w:rsidRDefault="00465838" w:rsidP="0064322B">
      <w:pPr>
        <w:jc w:val="both"/>
      </w:pPr>
      <w:r w:rsidRPr="00465838">
        <w:t>Sofinanciranje nakupa čebelarske opreme je namenjeno</w:t>
      </w:r>
      <w:r>
        <w:t xml:space="preserve"> izboljšanju ekonomičnosti in konkurenčnosti čebelarstva </w:t>
      </w:r>
      <w:r w:rsidR="00AE13EE">
        <w:t>z nakupom nove</w:t>
      </w:r>
      <w:r>
        <w:t xml:space="preserve"> čebelarske opreme. </w:t>
      </w:r>
      <w:r w:rsidRPr="00465838">
        <w:t xml:space="preserve"> </w:t>
      </w:r>
      <w:r>
        <w:t xml:space="preserve">Vlagatelji so </w:t>
      </w:r>
      <w:r w:rsidRPr="00465838">
        <w:t xml:space="preserve">fizične ali pravne osebe, ki </w:t>
      </w:r>
      <w:r>
        <w:t xml:space="preserve">so </w:t>
      </w:r>
      <w:r w:rsidRPr="00465838">
        <w:t xml:space="preserve">vpisane v </w:t>
      </w:r>
      <w:r>
        <w:t xml:space="preserve">Centralni </w:t>
      </w:r>
      <w:r w:rsidRPr="00465838">
        <w:t>register čebelnjakov. Upravičenec postane tisti vlagatelj, ki izpolni vse predpisane pogoje in uspešno kandidira na javnem razpisu.</w:t>
      </w:r>
    </w:p>
    <w:p w14:paraId="4C8EF051" w14:textId="3C51C35C" w:rsidR="004844E4" w:rsidRDefault="004844E4" w:rsidP="0064322B">
      <w:pPr>
        <w:jc w:val="both"/>
      </w:pPr>
      <w:r>
        <w:t xml:space="preserve">V okviru javnih razpisov se sofinancira nakup nove čebelarske opreme, ki je vključena v </w:t>
      </w:r>
      <w:r w:rsidRPr="0064322B">
        <w:rPr>
          <w:b/>
          <w:bCs/>
        </w:rPr>
        <w:t>Seznam čebelarske opreme in najvišje višine priznanih stroškov nakupa posamezne nove čebelarske opreme za programsko obdobje 2023–2027.</w:t>
      </w:r>
      <w:r>
        <w:t xml:space="preserve"> Podpora se prizna največ do višine stroška, določenega v Seznamu za posamezno opremo. Če je nakupna cena brez DDV enaka ali nižja od povprečne vrednosti iz Seznama, se sofinancira dejanska cena brez DDV. Če pa je cena višja od povprečne vrednosti iz Seznama, se za izračun podpore upošteva znesek, določen v Seznamu, ne glede na to, da je bil dejanski nakup dražji.</w:t>
      </w:r>
      <w:r>
        <w:t xml:space="preserve"> </w:t>
      </w:r>
      <w:r>
        <w:t xml:space="preserve">Če želi vlagatelj kupiti opremo, ki ni navedena na Seznamu, se mora </w:t>
      </w:r>
      <w:r>
        <w:t xml:space="preserve">glede upravičenosti stroška </w:t>
      </w:r>
      <w:r>
        <w:t>predhodno posvetovati z Agencij</w:t>
      </w:r>
      <w:r>
        <w:t>o</w:t>
      </w:r>
      <w:r>
        <w:t xml:space="preserve"> Republike Slovenije za kmetijske trge in razvoj podeželja </w:t>
      </w:r>
      <w:r>
        <w:t>(</w:t>
      </w:r>
      <w:hyperlink r:id="rId4" w:history="1">
        <w:r w:rsidRPr="006579B6">
          <w:rPr>
            <w:rStyle w:val="Hiperpovezava"/>
          </w:rPr>
          <w:t>ceb-ukrepi.aktrp@gov.si</w:t>
        </w:r>
      </w:hyperlink>
      <w:r>
        <w:t xml:space="preserve">). </w:t>
      </w:r>
      <w:r w:rsidR="00AE13EE">
        <w:t>V primeru, da</w:t>
      </w:r>
      <w:r>
        <w:t xml:space="preserve"> je oprema upravičljiv strošek,</w:t>
      </w:r>
      <w:r>
        <w:t xml:space="preserve"> mora </w:t>
      </w:r>
      <w:r w:rsidR="00AE13EE">
        <w:t xml:space="preserve">vlagatelj </w:t>
      </w:r>
      <w:r>
        <w:t>pridobiti tri med seboj primerljive ponudbe za isto opremo, pri čemer mora biti vsem ponudnikom poslano enako povpraševanje. Nakup mora biti izveden po ceni najugodnejše ponudbe</w:t>
      </w:r>
      <w:r>
        <w:t xml:space="preserve">. </w:t>
      </w:r>
      <w:r w:rsidR="00E66748">
        <w:t>Stroški kot so d</w:t>
      </w:r>
      <w:r w:rsidR="00E66748">
        <w:t>odatn</w:t>
      </w:r>
      <w:r w:rsidR="00E66748">
        <w:t>a</w:t>
      </w:r>
      <w:r w:rsidR="00E66748">
        <w:t xml:space="preserve"> oprem</w:t>
      </w:r>
      <w:r w:rsidR="00E66748">
        <w:t>a</w:t>
      </w:r>
      <w:r w:rsidR="00E66748">
        <w:t xml:space="preserve"> (npr. guma za prikolico ipd.), carin</w:t>
      </w:r>
      <w:r w:rsidR="00E66748">
        <w:t>a</w:t>
      </w:r>
      <w:r w:rsidR="00E66748">
        <w:t xml:space="preserve"> ali strošk</w:t>
      </w:r>
      <w:r w:rsidR="00E66748">
        <w:t xml:space="preserve">i </w:t>
      </w:r>
      <w:r w:rsidR="00E66748">
        <w:t>dostave</w:t>
      </w:r>
      <w:r w:rsidR="00AE13EE">
        <w:t xml:space="preserve"> opreme</w:t>
      </w:r>
      <w:r w:rsidR="00E66748">
        <w:t xml:space="preserve"> niso predmet sofinanciranja.</w:t>
      </w:r>
      <w:r w:rsidR="00E66748">
        <w:t xml:space="preserve"> </w:t>
      </w:r>
      <w:r>
        <w:t>Seznam je dostopen preko QR kode</w:t>
      </w:r>
      <w:r>
        <w:t>.</w:t>
      </w:r>
    </w:p>
    <w:p w14:paraId="7EB47F4D" w14:textId="3CF8046D" w:rsidR="00465838" w:rsidRPr="00465838" w:rsidRDefault="00267F2D" w:rsidP="0064322B">
      <w:pPr>
        <w:jc w:val="both"/>
      </w:pPr>
      <w:r>
        <w:t xml:space="preserve">Za kandidiranje na razpisih v letu 2026, veljajo računi in dokazila o plačilu, izdani </w:t>
      </w:r>
      <w:r w:rsidRPr="00852084">
        <w:rPr>
          <w:b/>
          <w:bCs/>
        </w:rPr>
        <w:t xml:space="preserve">od 1. 8. 2025 </w:t>
      </w:r>
      <w:r w:rsidR="00AE13EE">
        <w:rPr>
          <w:b/>
          <w:bCs/>
        </w:rPr>
        <w:t>naprej</w:t>
      </w:r>
      <w:r w:rsidRPr="00852084">
        <w:rPr>
          <w:b/>
          <w:bCs/>
        </w:rPr>
        <w:t>.</w:t>
      </w:r>
      <w:r>
        <w:t xml:space="preserve"> Računi se morajo glasiti na </w:t>
      </w:r>
      <w:r w:rsidRPr="00AE13EE">
        <w:rPr>
          <w:b/>
          <w:bCs/>
        </w:rPr>
        <w:t>ime</w:t>
      </w:r>
      <w:r w:rsidRPr="00AE13EE">
        <w:rPr>
          <w:b/>
          <w:bCs/>
        </w:rPr>
        <w:t xml:space="preserve"> in </w:t>
      </w:r>
      <w:r w:rsidRPr="00AE13EE">
        <w:rPr>
          <w:b/>
          <w:bCs/>
        </w:rPr>
        <w:t xml:space="preserve">priimek </w:t>
      </w:r>
      <w:r>
        <w:t xml:space="preserve">vlagatelja, obvezna priloga pa je </w:t>
      </w:r>
      <w:r w:rsidRPr="00AE13EE">
        <w:rPr>
          <w:b/>
          <w:bCs/>
        </w:rPr>
        <w:t>dokazilo o plačilu</w:t>
      </w:r>
      <w:r>
        <w:t>, iz katerega mora biti razvidno, da je bil plačnik vlagatelj sam. V primeru gotovinskega plačila zadostuje, da je na računu navedeno, da je bil poravnan z gotovino.</w:t>
      </w:r>
      <w:r>
        <w:t xml:space="preserve"> Vlagatelj</w:t>
      </w:r>
      <w:r w:rsidR="00465838" w:rsidRPr="00465838">
        <w:t xml:space="preserve"> mora imeti</w:t>
      </w:r>
      <w:r>
        <w:t xml:space="preserve"> </w:t>
      </w:r>
      <w:r w:rsidR="00E66748">
        <w:t>opravljeno</w:t>
      </w:r>
      <w:r w:rsidR="00465838" w:rsidRPr="00465838">
        <w:t xml:space="preserve"> usposabljanje </w:t>
      </w:r>
      <w:r w:rsidR="00E66748" w:rsidRPr="00AE13EE">
        <w:rPr>
          <w:b/>
          <w:bCs/>
        </w:rPr>
        <w:t>Smernice dobrih higienskih navad v čebelarstvu</w:t>
      </w:r>
      <w:r w:rsidR="00465838" w:rsidRPr="00465838">
        <w:t xml:space="preserve"> ali vzpostavljen</w:t>
      </w:r>
      <w:r>
        <w:t xml:space="preserve"> lastni</w:t>
      </w:r>
      <w:r w:rsidR="00465838" w:rsidRPr="00465838">
        <w:t xml:space="preserve"> sistem HACCP, v </w:t>
      </w:r>
      <w:r w:rsidR="00465838" w:rsidRPr="00465838">
        <w:rPr>
          <w:b/>
          <w:bCs/>
        </w:rPr>
        <w:t>zadnjih štirih letih</w:t>
      </w:r>
      <w:r w:rsidR="00465838" w:rsidRPr="00465838">
        <w:t xml:space="preserve"> pa se mora udeležiti tudi </w:t>
      </w:r>
      <w:r w:rsidR="00465838" w:rsidRPr="00465838">
        <w:rPr>
          <w:b/>
          <w:bCs/>
        </w:rPr>
        <w:t xml:space="preserve">veterinarskega izobraževanja, </w:t>
      </w:r>
      <w:r w:rsidR="00465838" w:rsidRPr="00465838">
        <w:t>ki ga izvaja Nacionalni veterinarski inštitut</w:t>
      </w:r>
      <w:r w:rsidR="00E66748" w:rsidRPr="00AE13EE">
        <w:t xml:space="preserve"> VF</w:t>
      </w:r>
      <w:r w:rsidR="00465838" w:rsidRPr="00465838">
        <w:t xml:space="preserve">, ter najmanj enega </w:t>
      </w:r>
      <w:proofErr w:type="spellStart"/>
      <w:r w:rsidR="00465838" w:rsidRPr="00465838">
        <w:rPr>
          <w:b/>
          <w:bCs/>
        </w:rPr>
        <w:t>apitehničnega</w:t>
      </w:r>
      <w:proofErr w:type="spellEnd"/>
      <w:r w:rsidR="00465838" w:rsidRPr="00465838">
        <w:rPr>
          <w:b/>
          <w:bCs/>
        </w:rPr>
        <w:t xml:space="preserve"> usposabljanja</w:t>
      </w:r>
      <w:r w:rsidR="00465838" w:rsidRPr="00465838">
        <w:t xml:space="preserve"> </w:t>
      </w:r>
      <w:r w:rsidR="00E66748">
        <w:t>v izvedbi J</w:t>
      </w:r>
      <w:r w:rsidR="00465838" w:rsidRPr="00465838">
        <w:t>avne svetovalne službe</w:t>
      </w:r>
      <w:r w:rsidR="00E66748">
        <w:t xml:space="preserve"> v čebelarstvu</w:t>
      </w:r>
      <w:r w:rsidR="00465838" w:rsidRPr="00465838">
        <w:t>. Čebelar mora biti n</w:t>
      </w:r>
      <w:r w:rsidR="00465838" w:rsidRPr="00465838">
        <w:rPr>
          <w:b/>
          <w:bCs/>
        </w:rPr>
        <w:t>ajmanj tri leta</w:t>
      </w:r>
      <w:r w:rsidR="00E66748" w:rsidRPr="0064322B">
        <w:rPr>
          <w:b/>
          <w:bCs/>
        </w:rPr>
        <w:t xml:space="preserve"> pred objavo javnega razpisa</w:t>
      </w:r>
      <w:r w:rsidR="00465838" w:rsidRPr="00465838">
        <w:rPr>
          <w:b/>
          <w:bCs/>
        </w:rPr>
        <w:t xml:space="preserve"> vpisan v register čebelnjakov, redno poročati o številu družin,</w:t>
      </w:r>
      <w:r w:rsidR="00465838" w:rsidRPr="00465838">
        <w:t xml:space="preserve"> biti vpisan v register kmetijskih gospodarstev in imeti na </w:t>
      </w:r>
      <w:r w:rsidR="00E66748">
        <w:t>dan 31. oktober v letu pred objavo razpisa</w:t>
      </w:r>
      <w:r w:rsidR="00465838" w:rsidRPr="00465838">
        <w:t xml:space="preserve"> prijavljenih najmanj deset čebeljih družin oziroma pet, če je vključen v ekološko čebelarjenje. Dodatno ne sme imeti pravnomočnih odločb zaradi nepravilne uporabe zdravil, izdanih s strani U</w:t>
      </w:r>
      <w:r w:rsidR="0064322B">
        <w:t>VHVVR.</w:t>
      </w:r>
    </w:p>
    <w:p w14:paraId="6D84A29C" w14:textId="4B3FC4BA" w:rsidR="00465838" w:rsidRPr="00465838" w:rsidRDefault="00465838" w:rsidP="0064322B">
      <w:pPr>
        <w:jc w:val="both"/>
      </w:pPr>
      <w:r w:rsidRPr="00465838">
        <w:t xml:space="preserve">Pri finančnem delu </w:t>
      </w:r>
      <w:r w:rsidR="00AE13EE">
        <w:t>U</w:t>
      </w:r>
      <w:r w:rsidRPr="00465838">
        <w:t>redba določa, da mora</w:t>
      </w:r>
      <w:r w:rsidR="00F40441">
        <w:t xml:space="preserve"> skupni znesek nakupa opreme </w:t>
      </w:r>
      <w:r w:rsidRPr="00465838">
        <w:t xml:space="preserve">znašati najmanj </w:t>
      </w:r>
      <w:r w:rsidRPr="00465838">
        <w:rPr>
          <w:b/>
          <w:bCs/>
        </w:rPr>
        <w:t>400 evrov brez DDV</w:t>
      </w:r>
      <w:r w:rsidRPr="00465838">
        <w:t xml:space="preserve">. Osnovni delež sofinanciranja </w:t>
      </w:r>
      <w:r w:rsidRPr="00465838">
        <w:rPr>
          <w:b/>
          <w:bCs/>
        </w:rPr>
        <w:t>znaša 60 odstotkov vrednosti nakupa</w:t>
      </w:r>
      <w:r w:rsidR="00AE13EE" w:rsidRPr="00AE13EE">
        <w:rPr>
          <w:b/>
          <w:bCs/>
        </w:rPr>
        <w:t xml:space="preserve"> na znesek brez DDV</w:t>
      </w:r>
      <w:r w:rsidRPr="00465838">
        <w:rPr>
          <w:b/>
          <w:bCs/>
        </w:rPr>
        <w:t>,</w:t>
      </w:r>
      <w:r w:rsidRPr="00465838">
        <w:t xml:space="preserve"> pri čemer se upošteva najvišja priznana vrednost opreme. Ta delež se lahko poveča za </w:t>
      </w:r>
      <w:r w:rsidRPr="00465838">
        <w:rPr>
          <w:b/>
          <w:bCs/>
        </w:rPr>
        <w:t>5 odstotkov</w:t>
      </w:r>
      <w:r w:rsidRPr="00465838">
        <w:t xml:space="preserve"> </w:t>
      </w:r>
      <w:r w:rsidRPr="00465838">
        <w:rPr>
          <w:b/>
          <w:bCs/>
        </w:rPr>
        <w:t>za mlade čebelarje</w:t>
      </w:r>
      <w:r w:rsidRPr="00465838">
        <w:t xml:space="preserve"> med 18. in 40. letom starosti, za </w:t>
      </w:r>
      <w:r w:rsidRPr="00465838">
        <w:rPr>
          <w:b/>
          <w:bCs/>
        </w:rPr>
        <w:t>čebelarje z ustrezno izobrazbo</w:t>
      </w:r>
      <w:r w:rsidRPr="00465838">
        <w:t xml:space="preserve"> ter za tiste, ki so vključeni v </w:t>
      </w:r>
      <w:r w:rsidRPr="00465838">
        <w:rPr>
          <w:b/>
          <w:bCs/>
        </w:rPr>
        <w:t>sheme kakovosti.</w:t>
      </w:r>
      <w:r w:rsidRPr="00465838">
        <w:t xml:space="preserve"> </w:t>
      </w:r>
      <w:r w:rsidR="00F40441">
        <w:t>Kot ustrezna izobrazba se šteje opravljen redni ali izbirni predmet čebelarstvo,</w:t>
      </w:r>
      <w:r w:rsidR="00AE13EE">
        <w:t xml:space="preserve"> </w:t>
      </w:r>
      <w:r w:rsidR="00AE13EE">
        <w:lastRenderedPageBreak/>
        <w:t>opravljena nacionalna poklicna kvalifikacija s področja čebelarstva ali naziv čebelarski mojster oziroma čebelarska mojstrica.</w:t>
      </w:r>
      <w:r w:rsidR="00F40441">
        <w:t xml:space="preserve">  </w:t>
      </w:r>
      <w:r w:rsidR="00E66748">
        <w:t>Z dodatnimi petimi odstotk</w:t>
      </w:r>
      <w:r w:rsidR="00AE13EE">
        <w:t>i sofinanciranja ob izpolnjevanju določenih pogojev</w:t>
      </w:r>
      <w:r w:rsidR="00E66748">
        <w:t xml:space="preserve"> lahko čebelarji dosežejo</w:t>
      </w:r>
      <w:r w:rsidR="00AE13EE">
        <w:t xml:space="preserve"> </w:t>
      </w:r>
      <w:r w:rsidR="00AE13EE" w:rsidRPr="0064322B">
        <w:rPr>
          <w:b/>
          <w:bCs/>
        </w:rPr>
        <w:t>do</w:t>
      </w:r>
      <w:r w:rsidR="00E66748" w:rsidRPr="0064322B">
        <w:rPr>
          <w:b/>
          <w:bCs/>
        </w:rPr>
        <w:t xml:space="preserve"> 75 % sofinanciranje. Do 80% sofinanciranja</w:t>
      </w:r>
      <w:r w:rsidR="00E66748">
        <w:t xml:space="preserve"> nakupa čebelarske opreme so upravičeni čebelarji, vključeni v kontrolo ekološkega čebelarstva</w:t>
      </w:r>
      <w:r w:rsidR="00F40441">
        <w:t xml:space="preserve"> oziroma imajo certifikat za ekološke čebelje pridelke</w:t>
      </w:r>
      <w:r w:rsidR="00E66748">
        <w:t xml:space="preserve"> in čebelarji, ki imajo na dan </w:t>
      </w:r>
      <w:r w:rsidR="00F40441">
        <w:t>31.</w:t>
      </w:r>
      <w:r w:rsidR="00AE13EE">
        <w:t xml:space="preserve"> oktober</w:t>
      </w:r>
      <w:r w:rsidR="00F40441">
        <w:t xml:space="preserve"> </w:t>
      </w:r>
      <w:r w:rsidR="00E66748">
        <w:t xml:space="preserve"> v letu pred objavo razpisa</w:t>
      </w:r>
      <w:r w:rsidR="00AE13EE">
        <w:t>,</w:t>
      </w:r>
      <w:r w:rsidR="00E66748">
        <w:t xml:space="preserve"> v Centralnem registru čebelnjakov registriranih več kot 150 čebeljih družin. </w:t>
      </w:r>
      <w:r w:rsidR="00E66748" w:rsidRPr="0064322B">
        <w:rPr>
          <w:b/>
          <w:bCs/>
        </w:rPr>
        <w:t>100 % sofinanciranje</w:t>
      </w:r>
      <w:r w:rsidR="00E66748">
        <w:t xml:space="preserve"> nakupa čebelarske opreme pripada </w:t>
      </w:r>
      <w:r w:rsidRPr="00465838">
        <w:t>invalid</w:t>
      </w:r>
      <w:r w:rsidR="00E66748">
        <w:t>om</w:t>
      </w:r>
      <w:r w:rsidRPr="00465838">
        <w:t xml:space="preserve"> I. ali II. </w:t>
      </w:r>
      <w:r w:rsidR="00AE13EE">
        <w:t>kategorije</w:t>
      </w:r>
      <w:r w:rsidR="00E66748">
        <w:t xml:space="preserve">, ki imajo </w:t>
      </w:r>
      <w:r w:rsidR="00AE13EE">
        <w:t>mnenje</w:t>
      </w:r>
      <w:r w:rsidR="00E66748">
        <w:t xml:space="preserve"> Zavoda za pokojninsko in invalidsko zavarovanje RS. </w:t>
      </w:r>
    </w:p>
    <w:p w14:paraId="145F1B68" w14:textId="24C48577" w:rsidR="00465838" w:rsidRPr="00465838" w:rsidRDefault="00465838" w:rsidP="0064322B">
      <w:pPr>
        <w:jc w:val="both"/>
      </w:pPr>
      <w:r w:rsidRPr="00465838">
        <w:t>Najvišji skupni znesek podpore</w:t>
      </w:r>
      <w:r w:rsidR="00AE13EE">
        <w:t xml:space="preserve"> za sofinanciranje nakupa čebelarske opreme </w:t>
      </w:r>
      <w:r w:rsidRPr="00465838">
        <w:t xml:space="preserve"> v</w:t>
      </w:r>
      <w:r w:rsidR="00E66748">
        <w:t xml:space="preserve"> </w:t>
      </w:r>
      <w:r w:rsidR="00E66748" w:rsidRPr="00E66748">
        <w:rPr>
          <w:b/>
          <w:bCs/>
        </w:rPr>
        <w:t>celotnem</w:t>
      </w:r>
      <w:r w:rsidRPr="00465838">
        <w:rPr>
          <w:b/>
          <w:bCs/>
        </w:rPr>
        <w:t xml:space="preserve"> programskem obdobju 2023–2027</w:t>
      </w:r>
      <w:r w:rsidRPr="00465838">
        <w:t xml:space="preserve"> je odvisen od števila čebeljih družin, vpisanih na dan 31. oktobra v letu pred oddajo vloge.</w:t>
      </w:r>
      <w:r w:rsidR="00AE13EE">
        <w:t xml:space="preserve"> V skupni znesek podpore se </w:t>
      </w:r>
      <w:r w:rsidR="00AE13EE" w:rsidRPr="00AE13EE">
        <w:rPr>
          <w:b/>
          <w:bCs/>
        </w:rPr>
        <w:t>ne štejejo</w:t>
      </w:r>
      <w:r w:rsidR="00AE13EE">
        <w:t xml:space="preserve"> pridobljena sredstva pri razpisih za sofinanciranje nakupa ali izdelave satnic, sofinanciranje nakupa zdravil ter ostalih razpisov v čebelarskem sektorju. </w:t>
      </w:r>
      <w:r w:rsidRPr="00465838">
        <w:t xml:space="preserve"> Manjši čebelarji z 10 do 20 družinami lahko prejmejo do 1.400 evrov, z rastjo števila družin pa se zgornja meja postopno zvišuje, vse do 25.000 evrov za čebelarje s 350 ali več družinami. Ne glede na izračunane odstotke skupna podpora posameznemu vlagatelju v tem obdobju ne sme preseči določenega najvišjega zneska. </w:t>
      </w:r>
    </w:p>
    <w:p w14:paraId="158F9074" w14:textId="0E170A95" w:rsidR="00AE13EE" w:rsidRDefault="00AE13EE" w:rsidP="0064322B">
      <w:pPr>
        <w:pStyle w:val="Napis"/>
        <w:keepNext/>
        <w:jc w:val="both"/>
      </w:pPr>
      <w:r>
        <w:t xml:space="preserve">Tabela </w:t>
      </w:r>
      <w:r>
        <w:fldChar w:fldCharType="begin"/>
      </w:r>
      <w:r>
        <w:instrText xml:space="preserve"> SEQ Tabela \* ARABIC </w:instrText>
      </w:r>
      <w:r>
        <w:fldChar w:fldCharType="separate"/>
      </w:r>
      <w:r>
        <w:rPr>
          <w:noProof/>
        </w:rPr>
        <w:t>1</w:t>
      </w:r>
      <w:r>
        <w:fldChar w:fldCharType="end"/>
      </w:r>
      <w:r>
        <w:t>: Najvišji skupni znesek podpore pri Sofinanciranju čebelarske opreme v programskem obdobju 2023 - 2027</w:t>
      </w:r>
    </w:p>
    <w:tbl>
      <w:tblPr>
        <w:tblStyle w:val="Tabelamrea"/>
        <w:tblW w:w="0" w:type="auto"/>
        <w:tblLook w:val="04A0" w:firstRow="1" w:lastRow="0" w:firstColumn="1" w:lastColumn="0" w:noHBand="0" w:noVBand="1"/>
      </w:tblPr>
      <w:tblGrid>
        <w:gridCol w:w="4531"/>
        <w:gridCol w:w="4531"/>
      </w:tblGrid>
      <w:tr w:rsidR="00AE13EE" w:rsidRPr="00AE13EE" w14:paraId="795574E0" w14:textId="77777777">
        <w:tc>
          <w:tcPr>
            <w:tcW w:w="4531" w:type="dxa"/>
          </w:tcPr>
          <w:p w14:paraId="68A18064" w14:textId="77777777" w:rsidR="00AE13EE" w:rsidRPr="00AE13EE" w:rsidRDefault="00AE13EE" w:rsidP="0064322B">
            <w:pPr>
              <w:jc w:val="both"/>
            </w:pPr>
            <w:r w:rsidRPr="00AE13EE">
              <w:t>Število čebeljih družin</w:t>
            </w:r>
          </w:p>
        </w:tc>
        <w:tc>
          <w:tcPr>
            <w:tcW w:w="4531" w:type="dxa"/>
          </w:tcPr>
          <w:p w14:paraId="16C75D5D" w14:textId="77777777" w:rsidR="00AE13EE" w:rsidRPr="00AE13EE" w:rsidRDefault="00AE13EE" w:rsidP="0064322B">
            <w:pPr>
              <w:jc w:val="both"/>
            </w:pPr>
            <w:r w:rsidRPr="00AE13EE">
              <w:t>Najvišji znesek sofinanciranja (EUR)</w:t>
            </w:r>
          </w:p>
        </w:tc>
      </w:tr>
      <w:tr w:rsidR="00AE13EE" w:rsidRPr="00AE13EE" w14:paraId="4BF09819" w14:textId="77777777">
        <w:tc>
          <w:tcPr>
            <w:tcW w:w="4531" w:type="dxa"/>
          </w:tcPr>
          <w:p w14:paraId="5E71A923" w14:textId="77777777" w:rsidR="00AE13EE" w:rsidRPr="00AE13EE" w:rsidRDefault="00AE13EE" w:rsidP="0064322B">
            <w:pPr>
              <w:jc w:val="both"/>
            </w:pPr>
            <w:r w:rsidRPr="00AE13EE">
              <w:t>10–20</w:t>
            </w:r>
          </w:p>
        </w:tc>
        <w:tc>
          <w:tcPr>
            <w:tcW w:w="4531" w:type="dxa"/>
          </w:tcPr>
          <w:p w14:paraId="497295FB" w14:textId="77777777" w:rsidR="00AE13EE" w:rsidRPr="00AE13EE" w:rsidRDefault="00AE13EE" w:rsidP="0064322B">
            <w:pPr>
              <w:jc w:val="both"/>
            </w:pPr>
            <w:r w:rsidRPr="00AE13EE">
              <w:t>1400</w:t>
            </w:r>
          </w:p>
        </w:tc>
      </w:tr>
      <w:tr w:rsidR="00AE13EE" w:rsidRPr="00AE13EE" w14:paraId="60E333EB" w14:textId="77777777">
        <w:tc>
          <w:tcPr>
            <w:tcW w:w="4531" w:type="dxa"/>
          </w:tcPr>
          <w:p w14:paraId="6807CFB8" w14:textId="77777777" w:rsidR="00AE13EE" w:rsidRPr="00AE13EE" w:rsidRDefault="00AE13EE" w:rsidP="0064322B">
            <w:pPr>
              <w:jc w:val="both"/>
            </w:pPr>
            <w:r w:rsidRPr="00AE13EE">
              <w:t>21–40</w:t>
            </w:r>
          </w:p>
        </w:tc>
        <w:tc>
          <w:tcPr>
            <w:tcW w:w="4531" w:type="dxa"/>
          </w:tcPr>
          <w:p w14:paraId="0EB8C17B" w14:textId="77777777" w:rsidR="00AE13EE" w:rsidRPr="00AE13EE" w:rsidRDefault="00AE13EE" w:rsidP="0064322B">
            <w:pPr>
              <w:jc w:val="both"/>
            </w:pPr>
            <w:r w:rsidRPr="00AE13EE">
              <w:t>2800</w:t>
            </w:r>
          </w:p>
        </w:tc>
      </w:tr>
      <w:tr w:rsidR="00AE13EE" w:rsidRPr="00AE13EE" w14:paraId="500980FC" w14:textId="77777777">
        <w:tc>
          <w:tcPr>
            <w:tcW w:w="4531" w:type="dxa"/>
          </w:tcPr>
          <w:p w14:paraId="074BACF8" w14:textId="77777777" w:rsidR="00AE13EE" w:rsidRPr="00AE13EE" w:rsidRDefault="00AE13EE" w:rsidP="0064322B">
            <w:pPr>
              <w:jc w:val="both"/>
            </w:pPr>
            <w:r w:rsidRPr="00AE13EE">
              <w:t>41–100</w:t>
            </w:r>
          </w:p>
        </w:tc>
        <w:tc>
          <w:tcPr>
            <w:tcW w:w="4531" w:type="dxa"/>
          </w:tcPr>
          <w:p w14:paraId="7D375D76" w14:textId="77777777" w:rsidR="00AE13EE" w:rsidRPr="00AE13EE" w:rsidRDefault="00AE13EE" w:rsidP="0064322B">
            <w:pPr>
              <w:jc w:val="both"/>
            </w:pPr>
            <w:r w:rsidRPr="00AE13EE">
              <w:t>6000</w:t>
            </w:r>
          </w:p>
        </w:tc>
      </w:tr>
      <w:tr w:rsidR="00AE13EE" w:rsidRPr="00AE13EE" w14:paraId="0006BFDE" w14:textId="77777777">
        <w:tc>
          <w:tcPr>
            <w:tcW w:w="4531" w:type="dxa"/>
          </w:tcPr>
          <w:p w14:paraId="17A62CF9" w14:textId="77777777" w:rsidR="00AE13EE" w:rsidRPr="00AE13EE" w:rsidRDefault="00AE13EE" w:rsidP="0064322B">
            <w:pPr>
              <w:jc w:val="both"/>
            </w:pPr>
            <w:r w:rsidRPr="00AE13EE">
              <w:t>101–149</w:t>
            </w:r>
          </w:p>
        </w:tc>
        <w:tc>
          <w:tcPr>
            <w:tcW w:w="4531" w:type="dxa"/>
          </w:tcPr>
          <w:p w14:paraId="5D1815BC" w14:textId="77777777" w:rsidR="00AE13EE" w:rsidRPr="00AE13EE" w:rsidRDefault="00AE13EE" w:rsidP="0064322B">
            <w:pPr>
              <w:jc w:val="both"/>
            </w:pPr>
            <w:r w:rsidRPr="00AE13EE">
              <w:t>9000</w:t>
            </w:r>
          </w:p>
        </w:tc>
      </w:tr>
      <w:tr w:rsidR="00AE13EE" w:rsidRPr="00AE13EE" w14:paraId="2F1A47D6" w14:textId="77777777">
        <w:tc>
          <w:tcPr>
            <w:tcW w:w="4531" w:type="dxa"/>
          </w:tcPr>
          <w:p w14:paraId="1DFB50B6" w14:textId="77777777" w:rsidR="00AE13EE" w:rsidRPr="00AE13EE" w:rsidRDefault="00AE13EE" w:rsidP="0064322B">
            <w:pPr>
              <w:jc w:val="both"/>
            </w:pPr>
            <w:r w:rsidRPr="00AE13EE">
              <w:t>150–249</w:t>
            </w:r>
          </w:p>
        </w:tc>
        <w:tc>
          <w:tcPr>
            <w:tcW w:w="4531" w:type="dxa"/>
          </w:tcPr>
          <w:p w14:paraId="4D541E46" w14:textId="77777777" w:rsidR="00AE13EE" w:rsidRPr="00AE13EE" w:rsidRDefault="00AE13EE" w:rsidP="0064322B">
            <w:pPr>
              <w:jc w:val="both"/>
            </w:pPr>
            <w:r w:rsidRPr="00AE13EE">
              <w:t>15000</w:t>
            </w:r>
          </w:p>
        </w:tc>
      </w:tr>
      <w:tr w:rsidR="00AE13EE" w:rsidRPr="00AE13EE" w14:paraId="4E75828A" w14:textId="77777777">
        <w:tc>
          <w:tcPr>
            <w:tcW w:w="4531" w:type="dxa"/>
          </w:tcPr>
          <w:p w14:paraId="1E429F81" w14:textId="77777777" w:rsidR="00AE13EE" w:rsidRPr="00AE13EE" w:rsidRDefault="00AE13EE" w:rsidP="0064322B">
            <w:pPr>
              <w:jc w:val="both"/>
            </w:pPr>
            <w:r w:rsidRPr="00AE13EE">
              <w:t>250–349</w:t>
            </w:r>
          </w:p>
        </w:tc>
        <w:tc>
          <w:tcPr>
            <w:tcW w:w="4531" w:type="dxa"/>
          </w:tcPr>
          <w:p w14:paraId="7CEDEBA1" w14:textId="77777777" w:rsidR="00AE13EE" w:rsidRPr="00AE13EE" w:rsidRDefault="00AE13EE" w:rsidP="0064322B">
            <w:pPr>
              <w:jc w:val="both"/>
            </w:pPr>
            <w:r w:rsidRPr="00AE13EE">
              <w:t>20000</w:t>
            </w:r>
          </w:p>
        </w:tc>
      </w:tr>
      <w:tr w:rsidR="00AE13EE" w14:paraId="20B853A8" w14:textId="77777777">
        <w:tc>
          <w:tcPr>
            <w:tcW w:w="4531" w:type="dxa"/>
          </w:tcPr>
          <w:p w14:paraId="0D1DB623" w14:textId="77777777" w:rsidR="00AE13EE" w:rsidRPr="00AE13EE" w:rsidRDefault="00AE13EE" w:rsidP="0064322B">
            <w:pPr>
              <w:jc w:val="both"/>
            </w:pPr>
            <w:r w:rsidRPr="00AE13EE">
              <w:t>350 in več</w:t>
            </w:r>
          </w:p>
        </w:tc>
        <w:tc>
          <w:tcPr>
            <w:tcW w:w="4531" w:type="dxa"/>
          </w:tcPr>
          <w:p w14:paraId="47E11390" w14:textId="77777777" w:rsidR="00AE13EE" w:rsidRDefault="00AE13EE" w:rsidP="0064322B">
            <w:pPr>
              <w:jc w:val="both"/>
            </w:pPr>
            <w:r w:rsidRPr="00AE13EE">
              <w:t>25000</w:t>
            </w:r>
          </w:p>
        </w:tc>
      </w:tr>
    </w:tbl>
    <w:p w14:paraId="17C2BF6F" w14:textId="548E0D4F" w:rsidR="0054517D" w:rsidRDefault="0054517D" w:rsidP="0064322B">
      <w:pPr>
        <w:jc w:val="both"/>
      </w:pPr>
    </w:p>
    <w:p w14:paraId="0D888B2C" w14:textId="77777777" w:rsidR="0064322B" w:rsidRDefault="0064322B" w:rsidP="0064322B">
      <w:pPr>
        <w:jc w:val="both"/>
      </w:pPr>
      <w:r>
        <w:t xml:space="preserve">Aktualne informacije o razpisih in </w:t>
      </w:r>
      <w:proofErr w:type="spellStart"/>
      <w:r>
        <w:t>podintervencijah</w:t>
      </w:r>
      <w:proofErr w:type="spellEnd"/>
      <w:r>
        <w:t xml:space="preserve"> so dostopne na spletni strani Čebelarske zveze Slovenije, za dodatne informacije pa se lahko čebelarji obrnejo tudi na svetovalce Javne svetovalne službe v čebelarstvu.</w:t>
      </w:r>
    </w:p>
    <w:p w14:paraId="4A4FD2C7" w14:textId="77777777" w:rsidR="0064322B" w:rsidRPr="00DE7336" w:rsidRDefault="0064322B" w:rsidP="0064322B">
      <w:pPr>
        <w:jc w:val="both"/>
      </w:pPr>
      <w:r>
        <w:t>Tina Žerovnik,</w:t>
      </w:r>
      <w:r>
        <w:br/>
        <w:t>svetovalka specialistka za ekonomiko čebelarstva</w:t>
      </w:r>
    </w:p>
    <w:p w14:paraId="275546C4" w14:textId="77777777" w:rsidR="0064322B" w:rsidRDefault="0064322B" w:rsidP="00AE13EE"/>
    <w:sectPr w:rsidR="00643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38"/>
    <w:rsid w:val="00267F2D"/>
    <w:rsid w:val="00387762"/>
    <w:rsid w:val="00465838"/>
    <w:rsid w:val="004844E4"/>
    <w:rsid w:val="0054517D"/>
    <w:rsid w:val="0064322B"/>
    <w:rsid w:val="008602E2"/>
    <w:rsid w:val="008C3AEA"/>
    <w:rsid w:val="00AE13EE"/>
    <w:rsid w:val="00E66748"/>
    <w:rsid w:val="00F404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C135"/>
  <w15:chartTrackingRefBased/>
  <w15:docId w15:val="{BBCF72BA-D176-4E64-BA00-CA5925CF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65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65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6583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6583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6583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6583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6583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6583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6583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6583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6583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6583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6583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6583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6583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6583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6583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65838"/>
    <w:rPr>
      <w:rFonts w:eastAsiaTheme="majorEastAsia" w:cstheme="majorBidi"/>
      <w:color w:val="272727" w:themeColor="text1" w:themeTint="D8"/>
    </w:rPr>
  </w:style>
  <w:style w:type="paragraph" w:styleId="Naslov">
    <w:name w:val="Title"/>
    <w:basedOn w:val="Navaden"/>
    <w:next w:val="Navaden"/>
    <w:link w:val="NaslovZnak"/>
    <w:uiPriority w:val="10"/>
    <w:qFormat/>
    <w:rsid w:val="00465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6583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6583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6583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65838"/>
    <w:pPr>
      <w:spacing w:before="160"/>
      <w:jc w:val="center"/>
    </w:pPr>
    <w:rPr>
      <w:i/>
      <w:iCs/>
      <w:color w:val="404040" w:themeColor="text1" w:themeTint="BF"/>
    </w:rPr>
  </w:style>
  <w:style w:type="character" w:customStyle="1" w:styleId="CitatZnak">
    <w:name w:val="Citat Znak"/>
    <w:basedOn w:val="Privzetapisavaodstavka"/>
    <w:link w:val="Citat"/>
    <w:uiPriority w:val="29"/>
    <w:rsid w:val="00465838"/>
    <w:rPr>
      <w:i/>
      <w:iCs/>
      <w:color w:val="404040" w:themeColor="text1" w:themeTint="BF"/>
    </w:rPr>
  </w:style>
  <w:style w:type="paragraph" w:styleId="Odstavekseznama">
    <w:name w:val="List Paragraph"/>
    <w:basedOn w:val="Navaden"/>
    <w:uiPriority w:val="34"/>
    <w:qFormat/>
    <w:rsid w:val="00465838"/>
    <w:pPr>
      <w:ind w:left="720"/>
      <w:contextualSpacing/>
    </w:pPr>
  </w:style>
  <w:style w:type="character" w:styleId="Intenzivenpoudarek">
    <w:name w:val="Intense Emphasis"/>
    <w:basedOn w:val="Privzetapisavaodstavka"/>
    <w:uiPriority w:val="21"/>
    <w:qFormat/>
    <w:rsid w:val="00465838"/>
    <w:rPr>
      <w:i/>
      <w:iCs/>
      <w:color w:val="0F4761" w:themeColor="accent1" w:themeShade="BF"/>
    </w:rPr>
  </w:style>
  <w:style w:type="paragraph" w:styleId="Intenzivencitat">
    <w:name w:val="Intense Quote"/>
    <w:basedOn w:val="Navaden"/>
    <w:next w:val="Navaden"/>
    <w:link w:val="IntenzivencitatZnak"/>
    <w:uiPriority w:val="30"/>
    <w:qFormat/>
    <w:rsid w:val="00465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65838"/>
    <w:rPr>
      <w:i/>
      <w:iCs/>
      <w:color w:val="0F4761" w:themeColor="accent1" w:themeShade="BF"/>
    </w:rPr>
  </w:style>
  <w:style w:type="character" w:styleId="Intenzivensklic">
    <w:name w:val="Intense Reference"/>
    <w:basedOn w:val="Privzetapisavaodstavka"/>
    <w:uiPriority w:val="32"/>
    <w:qFormat/>
    <w:rsid w:val="00465838"/>
    <w:rPr>
      <w:b/>
      <w:bCs/>
      <w:smallCaps/>
      <w:color w:val="0F4761" w:themeColor="accent1" w:themeShade="BF"/>
      <w:spacing w:val="5"/>
    </w:rPr>
  </w:style>
  <w:style w:type="character" w:styleId="Hiperpovezava">
    <w:name w:val="Hyperlink"/>
    <w:basedOn w:val="Privzetapisavaodstavka"/>
    <w:uiPriority w:val="99"/>
    <w:unhideWhenUsed/>
    <w:rsid w:val="004844E4"/>
    <w:rPr>
      <w:color w:val="467886" w:themeColor="hyperlink"/>
      <w:u w:val="single"/>
    </w:rPr>
  </w:style>
  <w:style w:type="character" w:styleId="Nerazreenaomemba">
    <w:name w:val="Unresolved Mention"/>
    <w:basedOn w:val="Privzetapisavaodstavka"/>
    <w:uiPriority w:val="99"/>
    <w:semiHidden/>
    <w:unhideWhenUsed/>
    <w:rsid w:val="004844E4"/>
    <w:rPr>
      <w:color w:val="605E5C"/>
      <w:shd w:val="clear" w:color="auto" w:fill="E1DFDD"/>
    </w:rPr>
  </w:style>
  <w:style w:type="table" w:styleId="Tabelamrea">
    <w:name w:val="Table Grid"/>
    <w:basedOn w:val="Navadnatabela"/>
    <w:uiPriority w:val="39"/>
    <w:rsid w:val="00AE1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AE13E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eb-ukrepi.aktr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797</Words>
  <Characters>4543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Administracija - ČZS</dc:creator>
  <cp:keywords/>
  <dc:description/>
  <cp:lastModifiedBy>Administracija - ČZS</cp:lastModifiedBy>
  <cp:revision>1</cp:revision>
  <dcterms:created xsi:type="dcterms:W3CDTF">2026-02-16T08:33:00Z</dcterms:created>
  <dcterms:modified xsi:type="dcterms:W3CDTF">2026-02-16T10:52:00Z</dcterms:modified>
</cp:coreProperties>
</file>